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C" w:rsidRDefault="00DA103E" w:rsidP="00DA103E">
      <w:pPr>
        <w:pStyle w:val="NoSpacing"/>
      </w:pPr>
      <w:r>
        <w:t>ELEKTROTEHNIČKA ŠKOLA</w:t>
      </w:r>
    </w:p>
    <w:p w:rsidR="00DA103E" w:rsidRDefault="00DA103E" w:rsidP="00DA103E">
      <w:pPr>
        <w:pStyle w:val="NoSpacing"/>
      </w:pPr>
      <w:r>
        <w:t>ZAGREB, KONAVOSKA 2</w:t>
      </w:r>
    </w:p>
    <w:p w:rsidR="00DA103E" w:rsidRDefault="00DA103E" w:rsidP="00DA103E">
      <w:pPr>
        <w:pStyle w:val="NoSpacing"/>
      </w:pPr>
    </w:p>
    <w:p w:rsidR="00DA103E" w:rsidRDefault="00CF619B" w:rsidP="00DA103E">
      <w:pPr>
        <w:pStyle w:val="NoSpacing"/>
      </w:pPr>
      <w:r>
        <w:t>Zagreb, 16</w:t>
      </w:r>
      <w:r w:rsidR="00DA103E">
        <w:t>.02.202</w:t>
      </w:r>
      <w:r w:rsidR="004172D4">
        <w:t>3</w:t>
      </w:r>
      <w:r w:rsidR="00DA103E">
        <w:t>.</w:t>
      </w:r>
      <w:bookmarkStart w:id="0" w:name="_GoBack"/>
      <w:bookmarkEnd w:id="0"/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C31046" w:rsidP="00C31046">
      <w:pPr>
        <w:pStyle w:val="NoSpacing"/>
        <w:jc w:val="center"/>
      </w:pPr>
      <w:r>
        <w:t xml:space="preserve">OBRAZLOŽENJE O ZNAČAJNIM </w:t>
      </w:r>
      <w:r w:rsidR="00DA103E">
        <w:t>O</w:t>
      </w:r>
      <w:r>
        <w:t>D</w:t>
      </w:r>
      <w:r w:rsidR="00DA103E">
        <w:t xml:space="preserve">STUPANJIMA REALIZIRANIH </w:t>
      </w:r>
      <w:r>
        <w:t xml:space="preserve">PRIHODA I </w:t>
      </w:r>
      <w:r w:rsidR="00DA103E">
        <w:t>RASHODA U ODNOSU NA PLAN</w:t>
      </w:r>
      <w:r w:rsidR="00AE67BC">
        <w:t xml:space="preserve"> 202</w:t>
      </w:r>
      <w:r w:rsidR="004172D4">
        <w:t>2</w:t>
      </w:r>
      <w:r w:rsidR="00AE67BC">
        <w:t>.g.</w:t>
      </w:r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4172D4" w:rsidP="00DA103E">
      <w:pPr>
        <w:pStyle w:val="NoSpacing"/>
      </w:pPr>
      <w:r>
        <w:tab/>
      </w:r>
      <w:r w:rsidR="004F650C">
        <w:t>Elektrotehnička škola ima planirane, a time i izvršene prihode i rashode od poslovanja, prihode od prodaje nefinancijske imovine , rashode za nabavu nefinancijske imovine te višak prihoda poslovanja.</w:t>
      </w:r>
    </w:p>
    <w:p w:rsidR="004F650C" w:rsidRDefault="004F650C" w:rsidP="00DA103E">
      <w:pPr>
        <w:pStyle w:val="NoSpacing"/>
      </w:pPr>
      <w:r>
        <w:t xml:space="preserve">Što se tiće izvršenja prihoda i rashoda u odnosu na plan u globalu nema </w:t>
      </w:r>
      <w:r w:rsidR="0011765C">
        <w:t>većih</w:t>
      </w:r>
      <w:r>
        <w:t xml:space="preserve"> odstupanja.</w:t>
      </w:r>
    </w:p>
    <w:p w:rsidR="00CD5804" w:rsidRDefault="00CD5804" w:rsidP="00DA103E">
      <w:pPr>
        <w:pStyle w:val="NoSpacing"/>
      </w:pPr>
      <w:r>
        <w:t>Škola ostvaruje prihode i rashode iz sljedećih izvora financiranja: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Opći prihodi i primici - 1.1.3 i 1.2.2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Vlastiti prihodi - 3.1.1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Prihodi za posebne namjene  -  4.3.1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Pomoći iz drugih proračuna – 5.2.1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Pomoći temeljem prijenosa EU sredstava – 5.6.1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Donacije – 6.1.1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Prihod o prodaje nefianacijske imovine 7.1.1</w:t>
      </w:r>
    </w:p>
    <w:p w:rsidR="0011765C" w:rsidRDefault="0011765C" w:rsidP="00DA103E">
      <w:pPr>
        <w:pStyle w:val="NoSpacing"/>
      </w:pPr>
      <w:r>
        <w:t xml:space="preserve">Na prihodima najveća odstupanja </w:t>
      </w:r>
      <w:r w:rsidR="00CD5804">
        <w:t xml:space="preserve">iskazana </w:t>
      </w:r>
      <w:r>
        <w:t xml:space="preserve">su </w:t>
      </w:r>
      <w:r w:rsidR="00CD5804">
        <w:t>na:</w:t>
      </w:r>
    </w:p>
    <w:p w:rsidR="00D065CA" w:rsidRDefault="008E59C6" w:rsidP="008E59C6">
      <w:pPr>
        <w:pStyle w:val="NoSpacing"/>
        <w:numPr>
          <w:ilvl w:val="0"/>
          <w:numId w:val="4"/>
        </w:numPr>
      </w:pPr>
      <w:r>
        <w:t>Izvor</w:t>
      </w:r>
      <w:r w:rsidR="00CD5804">
        <w:t xml:space="preserve"> 4.3.1 Prihodi za posebne namjene </w:t>
      </w:r>
    </w:p>
    <w:p w:rsidR="004172D4" w:rsidRDefault="00D065CA" w:rsidP="00D065CA">
      <w:pPr>
        <w:pStyle w:val="NoSpacing"/>
        <w:ind w:left="720"/>
      </w:pPr>
      <w:r>
        <w:t>O</w:t>
      </w:r>
      <w:r w:rsidR="00CD5804">
        <w:t>stvareno je više sredstava od planiranih od putničkih agencija koje su sufinancirale isplate dnevnica profesorima koji su bili pedagoška pratnja učenicima na izlet</w:t>
      </w:r>
      <w:r w:rsidR="00892F33">
        <w:t>u</w:t>
      </w:r>
      <w:r w:rsidR="00CD5804">
        <w:t>, također n</w:t>
      </w:r>
      <w:r w:rsidR="008E59C6">
        <w:t>isu planirana sredstva koja su učenici uplatili za izlet, a i ostvareno je više sredstava od planiranih za izdavanje duplikata i prijepisa svjedodžbi bivšim učenicima koji su zagubili originale.</w:t>
      </w:r>
    </w:p>
    <w:p w:rsidR="00D065CA" w:rsidRDefault="008E59C6" w:rsidP="008E59C6">
      <w:pPr>
        <w:pStyle w:val="NoSpacing"/>
        <w:numPr>
          <w:ilvl w:val="0"/>
          <w:numId w:val="4"/>
        </w:numPr>
      </w:pPr>
      <w:r>
        <w:t xml:space="preserve">Izvor 5.2.1 Pomoći iz drugih proračuna </w:t>
      </w:r>
    </w:p>
    <w:p w:rsidR="008E59C6" w:rsidRDefault="00D065CA" w:rsidP="00D065CA">
      <w:pPr>
        <w:pStyle w:val="NoSpacing"/>
        <w:ind w:left="720"/>
      </w:pPr>
      <w:r>
        <w:t>O</w:t>
      </w:r>
      <w:r w:rsidR="00D13C3B">
        <w:t>stvareno je manje od planiranih prihoda za plaće radnicima</w:t>
      </w:r>
      <w:r w:rsidR="00442A50">
        <w:t>, jer je u financijsk</w:t>
      </w:r>
      <w:r w:rsidR="00D13C3B">
        <w:t xml:space="preserve">om planu u odnosu na izvršenje </w:t>
      </w:r>
      <w:r w:rsidR="00442A50">
        <w:t xml:space="preserve">planirano </w:t>
      </w:r>
      <w:r w:rsidR="00D13C3B">
        <w:t xml:space="preserve">više sredstava za isplatu po sudskim presudama, </w:t>
      </w:r>
      <w:r w:rsidR="00442A50">
        <w:t xml:space="preserve">pošto se računalo da će svi sudski postupci vezani uz isplatu razlike plaće </w:t>
      </w:r>
      <w:r w:rsidR="00D13C3B">
        <w:t>biti završeni u 2022.g.</w:t>
      </w:r>
    </w:p>
    <w:p w:rsidR="00D065CA" w:rsidRDefault="00042F39" w:rsidP="008E59C6">
      <w:pPr>
        <w:pStyle w:val="NoSpacing"/>
        <w:numPr>
          <w:ilvl w:val="0"/>
          <w:numId w:val="4"/>
        </w:numPr>
      </w:pPr>
      <w:r>
        <w:t xml:space="preserve">Izvor 5.6.1 Pomoći temeljem prijenosa EU sredstava </w:t>
      </w:r>
    </w:p>
    <w:p w:rsidR="00042F39" w:rsidRDefault="00D065CA" w:rsidP="00D065CA">
      <w:pPr>
        <w:pStyle w:val="NoSpacing"/>
        <w:ind w:left="720"/>
      </w:pPr>
      <w:r>
        <w:t>O</w:t>
      </w:r>
      <w:r w:rsidR="00042F39">
        <w:t>stvareno je više od planiranih sredstava iz razloga što je dobiveno 80% sredstava za novi projekt mobilnosti koji će biti realiziran u 2023.g., a za koji se nije znalo hoće li biti odobren i u kojem iznosu te nije bio niti planiran. Ta sredstva će biti potrošena u 2023.g. iz prenesenog viška 2022.g.</w:t>
      </w:r>
    </w:p>
    <w:p w:rsidR="00D065CA" w:rsidRDefault="00042F39" w:rsidP="008E59C6">
      <w:pPr>
        <w:pStyle w:val="NoSpacing"/>
        <w:numPr>
          <w:ilvl w:val="0"/>
          <w:numId w:val="4"/>
        </w:numPr>
      </w:pPr>
      <w:r>
        <w:t xml:space="preserve">Izvor 6.1.1 Donacije </w:t>
      </w:r>
    </w:p>
    <w:p w:rsidR="00042F39" w:rsidRDefault="00D065CA" w:rsidP="00D065CA">
      <w:pPr>
        <w:pStyle w:val="NoSpacing"/>
        <w:ind w:left="720"/>
      </w:pPr>
      <w:r>
        <w:t>S</w:t>
      </w:r>
      <w:r w:rsidR="00042F39">
        <w:t xml:space="preserve">redstva od donacija je teško planirati, </w:t>
      </w:r>
      <w:r>
        <w:t>jer se ne može znati hoće li škola i koliko ostvarit donacija. I</w:t>
      </w:r>
      <w:r w:rsidR="00042F39">
        <w:t>z ovog izvora također su planirane dnevn</w:t>
      </w:r>
      <w:r w:rsidR="00892F33">
        <w:t>ice</w:t>
      </w:r>
      <w:r w:rsidR="00042F39">
        <w:t xml:space="preserve"> za profesore</w:t>
      </w:r>
      <w:r w:rsidR="00892F33">
        <w:t xml:space="preserve"> koji su bili pedagoška pratnja učenicima na izletima i maturalnim putovanjima. Škola provodi dosta malih projekata te je dobila donacije nastavnog materijala i opreme za potrebe provođenja projekta.</w:t>
      </w:r>
    </w:p>
    <w:p w:rsidR="00892F33" w:rsidRDefault="00892F33" w:rsidP="00892F33">
      <w:pPr>
        <w:pStyle w:val="NoSpacing"/>
      </w:pPr>
      <w:r>
        <w:t>U financijskom planu za 2022.g. imali smo iskazani višak prihoda iz vlastitih prihoda  s kojim smo uravnotežili  više planirana sredstva rashoda u odnosu na prihode, međutim na kraju godine taj višak je bio veći od planiranog</w:t>
      </w:r>
      <w:r w:rsidR="007B2524">
        <w:t xml:space="preserve"> i koristio se tijekom godine za podmirenje nekih rashoda koje nismo planirali ili smo ih planirali u manjem iznosu.</w:t>
      </w:r>
    </w:p>
    <w:p w:rsidR="007B2524" w:rsidRDefault="007B2524" w:rsidP="00892F33">
      <w:pPr>
        <w:pStyle w:val="NoSpacing"/>
      </w:pPr>
      <w:r>
        <w:t>Na rashodima veća odstupanja iskazana su na:</w:t>
      </w:r>
    </w:p>
    <w:p w:rsidR="007B2524" w:rsidRDefault="007B2524" w:rsidP="007B2524">
      <w:pPr>
        <w:pStyle w:val="NoSpacing"/>
        <w:numPr>
          <w:ilvl w:val="0"/>
          <w:numId w:val="5"/>
        </w:numPr>
      </w:pPr>
      <w:r>
        <w:t>Izvor 1.1.3 Opći prihodi i primici – pojačani standard</w:t>
      </w:r>
    </w:p>
    <w:p w:rsidR="00D065CA" w:rsidRDefault="00D065CA" w:rsidP="007B2524">
      <w:pPr>
        <w:pStyle w:val="NoSpacing"/>
        <w:ind w:left="360"/>
      </w:pPr>
      <w:r>
        <w:t xml:space="preserve">       </w:t>
      </w:r>
      <w:r w:rsidR="007B2524">
        <w:t xml:space="preserve">Iz navedenog izvora nemamo planirana, a izvršena sredstva na prekovremenom radu, doprinosima za </w:t>
      </w:r>
      <w:r>
        <w:t xml:space="preserve">                                    </w:t>
      </w:r>
    </w:p>
    <w:p w:rsidR="007B2524" w:rsidRDefault="007B2524" w:rsidP="00D065CA">
      <w:pPr>
        <w:pStyle w:val="NoSpacing"/>
        <w:ind w:left="708"/>
      </w:pPr>
      <w:r>
        <w:t>obvezno zdravstveno osiguranje i službenim putovanjima  koja se odnose na predmet Škola i zajednica za čiju su realizaciju osigurana sredstva u proračunu osnivača.</w:t>
      </w:r>
    </w:p>
    <w:p w:rsidR="007B2524" w:rsidRDefault="007B2524" w:rsidP="00D065CA">
      <w:pPr>
        <w:pStyle w:val="NoSpacing"/>
        <w:ind w:left="708"/>
      </w:pPr>
      <w:r>
        <w:t>Također nemamo planirana, a izvršena sredstva na uredskoj opremi i namještaju za odobrenu nabavu školskog namještaja i računala od Gradskog ureda za obrazovanje, sport i mlade.</w:t>
      </w:r>
    </w:p>
    <w:p w:rsidR="006318DD" w:rsidRDefault="006318DD" w:rsidP="00D065CA">
      <w:pPr>
        <w:pStyle w:val="NoSpacing"/>
        <w:ind w:left="708"/>
      </w:pPr>
      <w:r>
        <w:t>Manje planirana, a više izvršena sredstva iskazana na naknadama građanima i kućanstvima u novcu odnose se na nagradu „Profesor Baltazar“, koja se isplaćuje za osvojeno prvo, drugo ili treće mjesto na državnim natjecanjima učenicima i mentorima.</w:t>
      </w:r>
    </w:p>
    <w:p w:rsidR="006318DD" w:rsidRDefault="006318DD" w:rsidP="00D065CA">
      <w:pPr>
        <w:pStyle w:val="NoSpacing"/>
        <w:ind w:left="708"/>
      </w:pPr>
      <w:r>
        <w:t>Manje planirana, a više izvršena sredstva na naknadi za prijevoz na posao i s posla nastala su zbog povećanja cijena prijevoznika u 2022.g. i to u više navrata.</w:t>
      </w:r>
    </w:p>
    <w:p w:rsidR="006318DD" w:rsidRDefault="006318DD" w:rsidP="00D065CA">
      <w:pPr>
        <w:pStyle w:val="NoSpacing"/>
        <w:ind w:left="708"/>
      </w:pPr>
      <w:r>
        <w:lastRenderedPageBreak/>
        <w:t>Na naknadama za rad predstavničkih i izvršnih tijela više je izvršeno rashoda iz razloga jer su nam za Školski odbor sredstva za 2021.g. dozna</w:t>
      </w:r>
      <w:r w:rsidR="00DE215E">
        <w:t>č</w:t>
      </w:r>
      <w:r>
        <w:t>ena, isplaćena i knjižena kao rashod 2022.g.</w:t>
      </w:r>
      <w:r w:rsidR="00D065CA">
        <w:t xml:space="preserve"> pošto greškom nisu proknjižena kao rashod i obveza 2021.g.</w:t>
      </w:r>
    </w:p>
    <w:p w:rsidR="00ED463E" w:rsidRDefault="00ED463E" w:rsidP="00ED463E">
      <w:pPr>
        <w:pStyle w:val="NoSpacing"/>
        <w:ind w:left="708"/>
      </w:pPr>
      <w:r>
        <w:t>Na intelektualnim uslugama više planirano rashoda u financijskom planu u odnosu na izvršenje odnosi se na pomoćnike u nastavi. Škola je samo do 5.mj. 2022.g. imala isplatu za pomoćnika u nastavi, jer je učenik s teškoćama bio 4. razred te mu je tada završila nastava, a drugih učenika s teškoćama koji imaju potrebu za pomoćnikom u nastavi nismo imali.</w:t>
      </w:r>
    </w:p>
    <w:p w:rsidR="00D065CA" w:rsidRDefault="00D065CA" w:rsidP="00D065CA">
      <w:pPr>
        <w:pStyle w:val="NoSpacing"/>
        <w:numPr>
          <w:ilvl w:val="0"/>
          <w:numId w:val="5"/>
        </w:numPr>
      </w:pPr>
      <w:r>
        <w:t>Izvor 1.</w:t>
      </w:r>
      <w:r w:rsidR="00912709">
        <w:t>2.2 D</w:t>
      </w:r>
      <w:r>
        <w:t xml:space="preserve">ecentralizirana sredstva </w:t>
      </w:r>
    </w:p>
    <w:p w:rsidR="004172D4" w:rsidRDefault="00D065CA" w:rsidP="00D065CA">
      <w:pPr>
        <w:pStyle w:val="NoSpacing"/>
        <w:ind w:left="720"/>
      </w:pPr>
      <w:r>
        <w:t>Nakon prestanka mjera koja su bila vezana za COVID u 2022.g. život se vratio u „normalu“ te su se ponovno počeli organizirati seminari, usavršavanja i sastanci na koj</w:t>
      </w:r>
      <w:r w:rsidR="00AE0055">
        <w:t>a se moralo putovati te je iz tog razloga više realizirano rashoda na službenim putovanjima.</w:t>
      </w:r>
    </w:p>
    <w:p w:rsidR="00AE0055" w:rsidRDefault="00AE0055" w:rsidP="00D065CA">
      <w:pPr>
        <w:pStyle w:val="NoSpacing"/>
        <w:ind w:left="720"/>
      </w:pPr>
      <w:r>
        <w:t>Tehničko veleučilište u Zagrebu  vodi sudski postupak protiv Elektrotehničke škole vezan uz priznanje vlasništva te je za taj postupak Škola uz odobrenje osnivača angažirala odvjetnika,</w:t>
      </w:r>
      <w:r w:rsidR="00DE215E">
        <w:t xml:space="preserve"> </w:t>
      </w:r>
      <w:r>
        <w:t>a</w:t>
      </w:r>
      <w:r w:rsidR="00912709">
        <w:t xml:space="preserve"> odvjetnički troškovi</w:t>
      </w:r>
      <w:r>
        <w:t xml:space="preserve"> koje je </w:t>
      </w:r>
      <w:r w:rsidR="00912709">
        <w:t>platila</w:t>
      </w:r>
      <w:r>
        <w:t xml:space="preserve"> u 2022.g. </w:t>
      </w:r>
      <w:r w:rsidR="00912709">
        <w:t>knjiženi su na kontu usluge odvjetnika i pravnog savjetovanja koji pripada u intelektualne usluge. Također je vezano uz isti sudski spor plaćena i sudska pristojba za koju nema u financijskom planu planiranh sredstava, a izvršena su.</w:t>
      </w:r>
    </w:p>
    <w:p w:rsidR="00912709" w:rsidRDefault="00912709" w:rsidP="00D065CA">
      <w:pPr>
        <w:pStyle w:val="NoSpacing"/>
        <w:ind w:left="720"/>
      </w:pPr>
      <w:r>
        <w:t>Na premijama osigurnja pl</w:t>
      </w:r>
      <w:r w:rsidR="00DE215E">
        <w:t>a</w:t>
      </w:r>
      <w:r>
        <w:t>nirana su sredstva koja nisu izvršena jer je rashode za premije osiguranja preuzeo osnivač.</w:t>
      </w:r>
    </w:p>
    <w:p w:rsidR="00912709" w:rsidRDefault="00912709" w:rsidP="00912709">
      <w:pPr>
        <w:pStyle w:val="NoSpacing"/>
        <w:numPr>
          <w:ilvl w:val="0"/>
          <w:numId w:val="5"/>
        </w:numPr>
      </w:pPr>
      <w:r>
        <w:t>Izvor 3.1.1 Vlastiti prihodi</w:t>
      </w:r>
    </w:p>
    <w:p w:rsidR="00D5128B" w:rsidRDefault="00912709" w:rsidP="00D5128B">
      <w:pPr>
        <w:pStyle w:val="NoSpacing"/>
        <w:ind w:left="720"/>
      </w:pPr>
      <w:r>
        <w:t xml:space="preserve">Izvršeno je manje rashoda od </w:t>
      </w:r>
      <w:r w:rsidR="00D5128B">
        <w:t>planiranih iz razloga što su neki rashodi koji su plani</w:t>
      </w:r>
      <w:r w:rsidR="00DE215E">
        <w:t>rani iz vlastitih prihoda prebač</w:t>
      </w:r>
      <w:r w:rsidR="00D5128B">
        <w:t>eni na izvor 5.6.1, jer se sredstva od projekata EU</w:t>
      </w:r>
      <w:r w:rsidR="00AD0EC3">
        <w:t xml:space="preserve"> mogu trošiti za točno određe </w:t>
      </w:r>
      <w:r w:rsidR="00D5128B">
        <w:t xml:space="preserve"> namjene kao što su </w:t>
      </w:r>
      <w:r w:rsidR="00AD0EC3">
        <w:t>ured</w:t>
      </w:r>
      <w:r w:rsidR="00DE215E">
        <w:t>s</w:t>
      </w:r>
      <w:r w:rsidR="00AD0EC3">
        <w:t xml:space="preserve">ki materijal, </w:t>
      </w:r>
      <w:r w:rsidR="00D5128B">
        <w:t>komunalne usluge, zakupnine i najamnine za opremu, ostale usluge i dr.</w:t>
      </w:r>
    </w:p>
    <w:p w:rsidR="00D5128B" w:rsidRDefault="00D5128B" w:rsidP="00AD0EC3">
      <w:pPr>
        <w:pStyle w:val="NoSpacing"/>
        <w:ind w:left="720"/>
      </w:pPr>
      <w:r>
        <w:t xml:space="preserve">Sredstva koja su bila planirana za kupnju sitnog inventara nisu potrošena u cijelosti, </w:t>
      </w:r>
      <w:r w:rsidR="00DE215E">
        <w:t>dok</w:t>
      </w:r>
      <w:r>
        <w:t xml:space="preserve"> sredstva koja su bila planirana za zatezne kamate nisu iskorištena </w:t>
      </w:r>
      <w:r w:rsidR="00AD0EC3">
        <w:t xml:space="preserve">, jer su se </w:t>
      </w:r>
      <w:r>
        <w:t xml:space="preserve"> tijekom godine uspješno plaćali rač</w:t>
      </w:r>
      <w:r w:rsidR="00AD0EC3">
        <w:t>uni</w:t>
      </w:r>
      <w:r>
        <w:t xml:space="preserve"> na vrijeme pa nisu </w:t>
      </w:r>
      <w:r w:rsidR="00AD0EC3">
        <w:t>zaračunate zatezne kamate.</w:t>
      </w:r>
    </w:p>
    <w:p w:rsidR="004172D4" w:rsidRDefault="00AD0EC3" w:rsidP="00AD0EC3">
      <w:pPr>
        <w:pStyle w:val="NoSpacing"/>
        <w:numPr>
          <w:ilvl w:val="0"/>
          <w:numId w:val="5"/>
        </w:numPr>
      </w:pPr>
      <w:r>
        <w:t>Izvor 4.3.1 Prihodi za posebne namjene</w:t>
      </w:r>
    </w:p>
    <w:p w:rsidR="00AD0EC3" w:rsidRDefault="00AD0EC3" w:rsidP="00AD0EC3">
      <w:pPr>
        <w:pStyle w:val="NoSpacing"/>
        <w:ind w:left="720"/>
      </w:pPr>
      <w:r>
        <w:t>Na službenim putovanjima isplaćene su dnevnice profesorima za izlet iz sredstava koja je dala putnička agencija,</w:t>
      </w:r>
      <w:r w:rsidR="00DE215E">
        <w:t xml:space="preserve">a </w:t>
      </w:r>
      <w:r>
        <w:t xml:space="preserve"> koja nisu bila planirana u financijskom planu.</w:t>
      </w:r>
    </w:p>
    <w:p w:rsidR="00AD0EC3" w:rsidRDefault="00AD0EC3" w:rsidP="00AD0EC3">
      <w:pPr>
        <w:pStyle w:val="NoSpacing"/>
        <w:ind w:left="720"/>
      </w:pPr>
      <w:r>
        <w:t>Kupljeno je više uredskog materijala, jer je ostvareno više od planiranih sredstava od izrade duplikata i prijepisa svjedodžbi čija se sredstva koriste za tu namjenu.</w:t>
      </w:r>
    </w:p>
    <w:p w:rsidR="0014499C" w:rsidRDefault="00AD0EC3" w:rsidP="00AD0EC3">
      <w:pPr>
        <w:pStyle w:val="NoSpacing"/>
        <w:ind w:left="720"/>
      </w:pPr>
      <w:r>
        <w:t>Učenici su sakupil</w:t>
      </w:r>
      <w:r w:rsidR="0014499C">
        <w:t>i</w:t>
      </w:r>
      <w:r>
        <w:t xml:space="preserve"> sredstva </w:t>
      </w:r>
      <w:r w:rsidR="0014499C">
        <w:t xml:space="preserve"> koja su uplatili u blagajnu Škole te se preko školskog računa platio račun za prijevoz autobusom na izlet, pa je iz tog razloga iskazano izvršenje na kontu usluga, telefona, pošte i prijevoza</w:t>
      </w:r>
      <w:r w:rsidR="00DE215E">
        <w:t>,</w:t>
      </w:r>
      <w:r w:rsidR="0014499C">
        <w:t xml:space="preserve"> a nije bilo planiranih sredstava.</w:t>
      </w:r>
    </w:p>
    <w:p w:rsidR="00AD0EC3" w:rsidRDefault="0014499C" w:rsidP="00AD0EC3">
      <w:pPr>
        <w:pStyle w:val="NoSpacing"/>
        <w:ind w:left="720"/>
      </w:pPr>
      <w:r>
        <w:t>Učenici jednog razreda</w:t>
      </w:r>
      <w:r w:rsidR="00ED463E">
        <w:t xml:space="preserve"> u</w:t>
      </w:r>
      <w:r>
        <w:t xml:space="preserve">platili su štetu za razbijeno računalo u razredu  </w:t>
      </w:r>
      <w:r w:rsidR="00ED463E">
        <w:t>te su na taj način sufinancirali kupnju novog računala, iz tog razloga iskazano je izvršenje rashoda na kontu uredska oprema i namještaj</w:t>
      </w:r>
      <w:r w:rsidR="00DE215E">
        <w:t>,</w:t>
      </w:r>
      <w:r w:rsidR="00ED463E">
        <w:t xml:space="preserve"> a nije planiran u financijskom planu.</w:t>
      </w:r>
    </w:p>
    <w:p w:rsidR="00ED463E" w:rsidRDefault="00ED463E" w:rsidP="00ED463E">
      <w:pPr>
        <w:pStyle w:val="NoSpacing"/>
        <w:numPr>
          <w:ilvl w:val="0"/>
          <w:numId w:val="5"/>
        </w:numPr>
      </w:pPr>
      <w:r>
        <w:t>Izvor 5.2.1</w:t>
      </w:r>
      <w:r w:rsidR="00CC4AF5" w:rsidRPr="00CC4AF5">
        <w:t xml:space="preserve"> </w:t>
      </w:r>
      <w:r w:rsidR="00CC4AF5">
        <w:t>Pomoći iz drugih proračuna</w:t>
      </w:r>
    </w:p>
    <w:p w:rsidR="00ED463E" w:rsidRDefault="00ED463E" w:rsidP="00ED463E">
      <w:pPr>
        <w:pStyle w:val="NoSpacing"/>
        <w:ind w:left="720"/>
      </w:pPr>
      <w:r>
        <w:t>Iz navedenog izvora veća odstupanja na rashodima nastala su na kontima vezanim uz isplate plaća radnika, prekovremenog rada i ostalih materijalnih prava</w:t>
      </w:r>
      <w:r w:rsidR="00442A50">
        <w:t xml:space="preserve"> za koja se osiguravaju sredstva u proračunu RH.</w:t>
      </w:r>
    </w:p>
    <w:p w:rsidR="00442A50" w:rsidRDefault="00442A50" w:rsidP="00ED463E">
      <w:pPr>
        <w:pStyle w:val="NoSpacing"/>
        <w:ind w:left="720"/>
      </w:pPr>
      <w:r>
        <w:t>Kako naša Škola pripada u strukovne škola velik je problem prilikom zapošljavanja profesora stručnih predmeta, a i nekih općih predmeta,  te se zbog toga prekovremenim radom postojećeg kadra pokriva nedostatak profesora što je rezultiralo većim realiziranim rashodima prekovremenog rada od planiranog iznosa.</w:t>
      </w:r>
    </w:p>
    <w:p w:rsidR="00442A50" w:rsidRDefault="00442A50" w:rsidP="00ED463E">
      <w:pPr>
        <w:pStyle w:val="NoSpacing"/>
        <w:ind w:left="720"/>
      </w:pPr>
      <w:r>
        <w:t>Na kontima redovnog rada, doprinosa koji se obračunavaju na plaću, troškova sudskih postupaka i zateznih kamata iskazano je manje izvršenje od planiranih rashoda, jer u 2022.g. nisu završeni svi sudski postupci vezani uz isplatu razlike plaće za 2016. i 2017.g. koji su bili planirani financijskim planom.</w:t>
      </w:r>
    </w:p>
    <w:p w:rsidR="00CC4AF5" w:rsidRDefault="00CC4AF5" w:rsidP="00CC4AF5">
      <w:pPr>
        <w:pStyle w:val="NoSpacing"/>
        <w:numPr>
          <w:ilvl w:val="0"/>
          <w:numId w:val="5"/>
        </w:numPr>
      </w:pPr>
      <w:r>
        <w:t>Izvor 5.6.1 Pomoći temeljem prijenosa EU sredstava</w:t>
      </w:r>
    </w:p>
    <w:p w:rsidR="00CC4AF5" w:rsidRDefault="00CC4AF5" w:rsidP="00CC4AF5">
      <w:pPr>
        <w:pStyle w:val="NoSpacing"/>
        <w:ind w:left="720"/>
      </w:pPr>
      <w:r>
        <w:t>Na ovom izvoru nema  većih odstupanja.</w:t>
      </w:r>
    </w:p>
    <w:p w:rsidR="00CC4AF5" w:rsidRDefault="00CC4AF5" w:rsidP="00CC4AF5">
      <w:pPr>
        <w:pStyle w:val="NoSpacing"/>
        <w:ind w:left="720"/>
      </w:pPr>
      <w:r>
        <w:t>Na kontu ostalih usluga precjenili smo se u planu te su više planirana, a neiskorištena  sredstva, upotrijebljena za rashode na kojima je bilo manje planirano, a više ostvareno kao što su komunalne usluge , zakupnine i najamnine, reprezentacija, ostali nespomenuti  rashodi i dr.</w:t>
      </w:r>
    </w:p>
    <w:p w:rsidR="00442A50" w:rsidRDefault="00442A50" w:rsidP="00ED463E">
      <w:pPr>
        <w:pStyle w:val="NoSpacing"/>
        <w:ind w:left="720"/>
      </w:pPr>
    </w:p>
    <w:p w:rsidR="00C54819" w:rsidRDefault="00C54819" w:rsidP="00C54819">
      <w:pPr>
        <w:pStyle w:val="NoSpacing"/>
        <w:numPr>
          <w:ilvl w:val="0"/>
          <w:numId w:val="5"/>
        </w:numPr>
      </w:pPr>
      <w:r>
        <w:t>Izvor 6.1.1 Donacije</w:t>
      </w:r>
    </w:p>
    <w:p w:rsidR="00C54819" w:rsidRDefault="00C54819" w:rsidP="00C54819">
      <w:pPr>
        <w:pStyle w:val="NoSpacing"/>
        <w:ind w:left="720"/>
      </w:pPr>
      <w:r>
        <w:t>Iz ovog izvora najveća odstupanja od planiranih su nastavnom materijalu i uredskoj opremi i namještaju.</w:t>
      </w:r>
    </w:p>
    <w:p w:rsidR="00C54819" w:rsidRDefault="00C54819" w:rsidP="00C54819">
      <w:pPr>
        <w:pStyle w:val="NoSpacing"/>
        <w:ind w:left="720"/>
      </w:pPr>
      <w:r>
        <w:t>Kako je već navedeno kod prihoda, Škola provodi niz manjih projekata kao što su IRIM</w:t>
      </w:r>
      <w:r w:rsidR="00B71C77">
        <w:t xml:space="preserve"> te iz tih projektaka kao donaciju dobije nastavni materijal </w:t>
      </w:r>
      <w:r w:rsidR="00FB47BB">
        <w:t xml:space="preserve">za </w:t>
      </w:r>
      <w:r w:rsidR="00B71C77">
        <w:t>potrebe realizacije projekta i izvođenje nastave.</w:t>
      </w:r>
    </w:p>
    <w:p w:rsidR="00442A50" w:rsidRDefault="00B71C77" w:rsidP="00ED463E">
      <w:pPr>
        <w:pStyle w:val="NoSpacing"/>
        <w:ind w:left="720"/>
      </w:pPr>
      <w:r>
        <w:lastRenderedPageBreak/>
        <w:t xml:space="preserve">Radi realizacije nagrade u sklopu projekta Škola budućnosti u kategoriji „Best collaboration“ tvrtka STEMI d.o.o. donirala je školi dva računala i monitor, za koja je iskazano izvršenje </w:t>
      </w:r>
      <w:r w:rsidR="00FB47BB">
        <w:t xml:space="preserve">rashoda na kontu uredska oprema i namještaj </w:t>
      </w:r>
      <w:r>
        <w:t xml:space="preserve">kojeg nije bilo </w:t>
      </w:r>
      <w:r w:rsidR="00FB47BB">
        <w:t xml:space="preserve">planirano </w:t>
      </w:r>
      <w:r>
        <w:t>u financijskom planu.</w:t>
      </w:r>
    </w:p>
    <w:p w:rsidR="00B71C77" w:rsidRDefault="00B71C77" w:rsidP="00B71C77">
      <w:pPr>
        <w:pStyle w:val="NoSpacing"/>
      </w:pPr>
    </w:p>
    <w:p w:rsidR="004172D4" w:rsidRDefault="00C31046" w:rsidP="00DA103E">
      <w:pPr>
        <w:pStyle w:val="NoSpacing"/>
      </w:pPr>
      <w:r>
        <w:t xml:space="preserve">Elektrotehnička škola  pripada u program djelatnosti srednjeg školstva i učeničkih domova koji se provodi kroz niz aktivnosti i projekta.  Cilj programa je srednješkolsko obrazovanje učenika s posebnim ciljem strukovnog obrazovanja tehničkog smjera kojeg škola uspješno ostvaruje. </w:t>
      </w:r>
      <w:r w:rsidR="00801B0F">
        <w:t xml:space="preserve"> Od upisanih 697 učenika na početku nastavne godine u sve četiri godine školovanja njih 687 uspješno završi upisani razred.</w:t>
      </w:r>
    </w:p>
    <w:p w:rsidR="00801B0F" w:rsidRDefault="00FB47BB" w:rsidP="00DA103E">
      <w:pPr>
        <w:pStyle w:val="NoSpacing"/>
      </w:pPr>
      <w:r>
        <w:t>Učenici Škole sudjeluju i na raznim natjecanjima od kojih je jedno i WorldSkills Croatia za koje pokazatelj uspješnosti dajemo u tabeli:</w:t>
      </w:r>
    </w:p>
    <w:p w:rsidR="00FB47BB" w:rsidRDefault="00FB47BB" w:rsidP="00DA103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1276"/>
        <w:gridCol w:w="1276"/>
        <w:gridCol w:w="1417"/>
        <w:gridCol w:w="1417"/>
      </w:tblGrid>
      <w:tr w:rsidR="00894D91" w:rsidTr="00176294">
        <w:tc>
          <w:tcPr>
            <w:tcW w:w="1384" w:type="dxa"/>
          </w:tcPr>
          <w:p w:rsidR="00894D91" w:rsidRDefault="00894D91" w:rsidP="00DA103E">
            <w:pPr>
              <w:pStyle w:val="NoSpacing"/>
            </w:pPr>
            <w:r>
              <w:t>Pokazatelj rezultata</w:t>
            </w:r>
          </w:p>
        </w:tc>
        <w:tc>
          <w:tcPr>
            <w:tcW w:w="2835" w:type="dxa"/>
          </w:tcPr>
          <w:p w:rsidR="00894D91" w:rsidRDefault="00894D91" w:rsidP="00DA103E">
            <w:pPr>
              <w:pStyle w:val="NoSpacing"/>
            </w:pPr>
            <w:r>
              <w:t>Definicija pokazatelja</w:t>
            </w:r>
          </w:p>
        </w:tc>
        <w:tc>
          <w:tcPr>
            <w:tcW w:w="992" w:type="dxa"/>
          </w:tcPr>
          <w:p w:rsidR="00894D91" w:rsidRDefault="00894D91" w:rsidP="00DA103E">
            <w:pPr>
              <w:pStyle w:val="NoSpacing"/>
            </w:pPr>
            <w:r>
              <w:t>Jedinica mjere</w:t>
            </w:r>
          </w:p>
        </w:tc>
        <w:tc>
          <w:tcPr>
            <w:tcW w:w="1276" w:type="dxa"/>
          </w:tcPr>
          <w:p w:rsidR="00894D91" w:rsidRDefault="00894D91" w:rsidP="00DA103E">
            <w:pPr>
              <w:pStyle w:val="NoSpacing"/>
            </w:pPr>
            <w:r>
              <w:t>Županijsko natjecanje</w:t>
            </w:r>
          </w:p>
        </w:tc>
        <w:tc>
          <w:tcPr>
            <w:tcW w:w="1276" w:type="dxa"/>
          </w:tcPr>
          <w:p w:rsidR="00894D91" w:rsidRDefault="00894D91" w:rsidP="00DA103E">
            <w:pPr>
              <w:pStyle w:val="NoSpacing"/>
            </w:pPr>
            <w:r>
              <w:t>Državno natjecanje</w:t>
            </w:r>
          </w:p>
        </w:tc>
        <w:tc>
          <w:tcPr>
            <w:tcW w:w="1417" w:type="dxa"/>
          </w:tcPr>
          <w:p w:rsidR="00894D91" w:rsidRDefault="00894D91" w:rsidP="00DA103E">
            <w:pPr>
              <w:pStyle w:val="NoSpacing"/>
            </w:pPr>
            <w:r>
              <w:t xml:space="preserve">Osvojeno mjesto na državnom natjecanju </w:t>
            </w:r>
          </w:p>
        </w:tc>
        <w:tc>
          <w:tcPr>
            <w:tcW w:w="1417" w:type="dxa"/>
          </w:tcPr>
          <w:p w:rsidR="00894D91" w:rsidRDefault="00894D91" w:rsidP="00DA103E">
            <w:pPr>
              <w:pStyle w:val="NoSpacing"/>
            </w:pPr>
            <w:r>
              <w:t xml:space="preserve">Nagrada Profesor Baltazar </w:t>
            </w:r>
          </w:p>
        </w:tc>
      </w:tr>
      <w:tr w:rsidR="00894D91" w:rsidTr="00176294">
        <w:tc>
          <w:tcPr>
            <w:tcW w:w="1384" w:type="dxa"/>
          </w:tcPr>
          <w:p w:rsidR="00894D91" w:rsidRDefault="00894D91" w:rsidP="00DA103E">
            <w:pPr>
              <w:pStyle w:val="NoSpacing"/>
            </w:pPr>
            <w:r>
              <w:t>Program natjecanja</w:t>
            </w:r>
          </w:p>
        </w:tc>
        <w:tc>
          <w:tcPr>
            <w:tcW w:w="2835" w:type="dxa"/>
          </w:tcPr>
          <w:p w:rsidR="00894D91" w:rsidRDefault="00894D91" w:rsidP="00DA103E">
            <w:pPr>
              <w:pStyle w:val="NoSpacing"/>
            </w:pPr>
            <w:r>
              <w:t>Natjecanje WorlSkills Croatia</w:t>
            </w:r>
          </w:p>
        </w:tc>
        <w:tc>
          <w:tcPr>
            <w:tcW w:w="992" w:type="dxa"/>
          </w:tcPr>
          <w:p w:rsidR="00894D91" w:rsidRDefault="00894D91" w:rsidP="00DA103E">
            <w:pPr>
              <w:pStyle w:val="NoSpacing"/>
            </w:pPr>
            <w:r>
              <w:t>Broj učenika</w:t>
            </w:r>
          </w:p>
        </w:tc>
        <w:tc>
          <w:tcPr>
            <w:tcW w:w="1276" w:type="dxa"/>
          </w:tcPr>
          <w:p w:rsidR="00894D91" w:rsidRDefault="00894D91" w:rsidP="00DA103E">
            <w:pPr>
              <w:pStyle w:val="NoSpacing"/>
            </w:pPr>
            <w:r>
              <w:t>5 učenika</w:t>
            </w:r>
          </w:p>
        </w:tc>
        <w:tc>
          <w:tcPr>
            <w:tcW w:w="1276" w:type="dxa"/>
          </w:tcPr>
          <w:p w:rsidR="00894D91" w:rsidRDefault="00894D91" w:rsidP="00DA103E">
            <w:pPr>
              <w:pStyle w:val="NoSpacing"/>
            </w:pPr>
            <w:r>
              <w:t>2 učenika</w:t>
            </w:r>
          </w:p>
        </w:tc>
        <w:tc>
          <w:tcPr>
            <w:tcW w:w="1417" w:type="dxa"/>
          </w:tcPr>
          <w:p w:rsidR="00894D91" w:rsidRDefault="00894D91" w:rsidP="00DA103E">
            <w:pPr>
              <w:pStyle w:val="NoSpacing"/>
            </w:pPr>
            <w:r>
              <w:t>1 učenik 2</w:t>
            </w:r>
            <w:r w:rsidR="00FB47BB">
              <w:t>.</w:t>
            </w:r>
            <w:r>
              <w:t>mjesto</w:t>
            </w:r>
          </w:p>
        </w:tc>
        <w:tc>
          <w:tcPr>
            <w:tcW w:w="1417" w:type="dxa"/>
          </w:tcPr>
          <w:p w:rsidR="00894D91" w:rsidRDefault="00894D91" w:rsidP="00DA103E">
            <w:pPr>
              <w:pStyle w:val="NoSpacing"/>
            </w:pPr>
            <w:r>
              <w:t>DA</w:t>
            </w:r>
          </w:p>
        </w:tc>
      </w:tr>
    </w:tbl>
    <w:p w:rsidR="00801B0F" w:rsidRDefault="00801B0F" w:rsidP="00DA103E">
      <w:pPr>
        <w:pStyle w:val="NoSpacing"/>
      </w:pPr>
    </w:p>
    <w:p w:rsidR="00C31046" w:rsidRDefault="00C31046" w:rsidP="00DA103E">
      <w:pPr>
        <w:pStyle w:val="NoSpacing"/>
      </w:pPr>
    </w:p>
    <w:p w:rsidR="00AE67BC" w:rsidRDefault="00AE67BC" w:rsidP="009E0190">
      <w:pPr>
        <w:pStyle w:val="NoSpacing"/>
      </w:pPr>
    </w:p>
    <w:p w:rsidR="00AE67BC" w:rsidRDefault="00AE67BC" w:rsidP="009E0190">
      <w:pPr>
        <w:pStyle w:val="NoSpacing"/>
      </w:pPr>
    </w:p>
    <w:p w:rsidR="00AE67BC" w:rsidRDefault="00AE67BC" w:rsidP="009E01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E67BC" w:rsidRDefault="00AE67BC" w:rsidP="009E01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Renato Matejaš, prof.</w:t>
      </w:r>
    </w:p>
    <w:p w:rsidR="00AE67BC" w:rsidRDefault="00AE67BC" w:rsidP="009E01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67BC" w:rsidSect="00AE6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3AA"/>
    <w:multiLevelType w:val="hybridMultilevel"/>
    <w:tmpl w:val="11044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FF5"/>
    <w:multiLevelType w:val="hybridMultilevel"/>
    <w:tmpl w:val="B2F4C920"/>
    <w:lvl w:ilvl="0" w:tplc="B60469D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4736E3"/>
    <w:multiLevelType w:val="hybridMultilevel"/>
    <w:tmpl w:val="E6E45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F3F66"/>
    <w:multiLevelType w:val="hybridMultilevel"/>
    <w:tmpl w:val="2B90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7B5"/>
    <w:multiLevelType w:val="hybridMultilevel"/>
    <w:tmpl w:val="31B4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C"/>
    <w:rsid w:val="00042F39"/>
    <w:rsid w:val="0011765C"/>
    <w:rsid w:val="0014499C"/>
    <w:rsid w:val="002362B7"/>
    <w:rsid w:val="00267B43"/>
    <w:rsid w:val="00310E02"/>
    <w:rsid w:val="00362254"/>
    <w:rsid w:val="003A0E1E"/>
    <w:rsid w:val="004172D4"/>
    <w:rsid w:val="00442A50"/>
    <w:rsid w:val="004F650C"/>
    <w:rsid w:val="00613013"/>
    <w:rsid w:val="006318DD"/>
    <w:rsid w:val="00791356"/>
    <w:rsid w:val="007B2524"/>
    <w:rsid w:val="007D5C15"/>
    <w:rsid w:val="00801B0F"/>
    <w:rsid w:val="00892F33"/>
    <w:rsid w:val="00894D91"/>
    <w:rsid w:val="008E59C6"/>
    <w:rsid w:val="00912709"/>
    <w:rsid w:val="00936F7C"/>
    <w:rsid w:val="009E0190"/>
    <w:rsid w:val="009E06DB"/>
    <w:rsid w:val="00A90575"/>
    <w:rsid w:val="00AD0EC3"/>
    <w:rsid w:val="00AE0055"/>
    <w:rsid w:val="00AE67BC"/>
    <w:rsid w:val="00B71C77"/>
    <w:rsid w:val="00BC04C9"/>
    <w:rsid w:val="00C31046"/>
    <w:rsid w:val="00C54819"/>
    <w:rsid w:val="00C93ECB"/>
    <w:rsid w:val="00CC4AF5"/>
    <w:rsid w:val="00CD5804"/>
    <w:rsid w:val="00CF54D3"/>
    <w:rsid w:val="00CF619B"/>
    <w:rsid w:val="00D065CA"/>
    <w:rsid w:val="00D13C3B"/>
    <w:rsid w:val="00D5128B"/>
    <w:rsid w:val="00DA103E"/>
    <w:rsid w:val="00DA5890"/>
    <w:rsid w:val="00DE215E"/>
    <w:rsid w:val="00ED463E"/>
    <w:rsid w:val="00FB14F6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3E"/>
    <w:pPr>
      <w:spacing w:after="0" w:line="240" w:lineRule="auto"/>
    </w:pPr>
  </w:style>
  <w:style w:type="table" w:styleId="TableGrid">
    <w:name w:val="Table Grid"/>
    <w:basedOn w:val="TableNormal"/>
    <w:uiPriority w:val="59"/>
    <w:rsid w:val="00BC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3E"/>
    <w:pPr>
      <w:spacing w:after="0" w:line="240" w:lineRule="auto"/>
    </w:pPr>
  </w:style>
  <w:style w:type="table" w:styleId="TableGrid">
    <w:name w:val="Table Grid"/>
    <w:basedOn w:val="TableNormal"/>
    <w:uiPriority w:val="59"/>
    <w:rsid w:val="00BC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8</cp:revision>
  <cp:lastPrinted>2023-02-20T13:34:00Z</cp:lastPrinted>
  <dcterms:created xsi:type="dcterms:W3CDTF">2023-02-20T08:37:00Z</dcterms:created>
  <dcterms:modified xsi:type="dcterms:W3CDTF">2023-04-27T11:30:00Z</dcterms:modified>
</cp:coreProperties>
</file>